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EDB44">
      <w:pPr>
        <w:pStyle w:val="7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第五讲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糖尿病足及慢性难愈合创面的基层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换药指导与诊疗策略</w:t>
      </w:r>
    </w:p>
    <w:p w14:paraId="1D9F277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w w:val="8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w w:val="80"/>
          <w:sz w:val="32"/>
          <w:szCs w:val="32"/>
        </w:rPr>
        <w:t>福建医科大学</w:t>
      </w:r>
      <w:r>
        <w:rPr>
          <w:rFonts w:hint="eastAsia" w:ascii="仿宋_GB2312" w:hAnsi="仿宋_GB2312" w:eastAsia="仿宋_GB2312" w:cs="仿宋_GB2312"/>
          <w:color w:val="auto"/>
          <w:w w:val="80"/>
          <w:sz w:val="32"/>
          <w:szCs w:val="32"/>
          <w:lang w:eastAsia="zh-CN"/>
        </w:rPr>
        <w:t>附属协和医院</w:t>
      </w:r>
      <w:r>
        <w:rPr>
          <w:rFonts w:hint="eastAsia" w:ascii="仿宋_GB2312" w:hAnsi="仿宋_GB2312" w:eastAsia="仿宋_GB2312" w:cs="仿宋_GB2312"/>
          <w:color w:val="auto"/>
          <w:w w:val="80"/>
          <w:sz w:val="32"/>
          <w:szCs w:val="32"/>
          <w:lang w:val="en-US" w:eastAsia="zh-CN"/>
        </w:rPr>
        <w:t xml:space="preserve">   王彪 单秀英 王美水 黄祖根 雷忱 蔡北辰</w:t>
      </w:r>
    </w:p>
    <w:p w14:paraId="5BBD1BC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w w:val="80"/>
          <w:sz w:val="32"/>
          <w:szCs w:val="32"/>
          <w:lang w:val="en-US" w:eastAsia="zh-CN"/>
        </w:rPr>
      </w:pPr>
    </w:p>
    <w:p w14:paraId="416EFF0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随着人口老龄化及糖尿病患病率上升，糖尿病足及慢性难愈合创面已成为基层医疗面临的重要挑战。本文以基层实用性为导向，系统阐述了糖尿病足及慢性创面的病理生理机制与评估方法（如TIME原则与Wagner分级），重点总结了规范化的清创技术、各类现代敷料的特性与换药选择策略，以及包含控糖、抗感染、营养支持与减压治疗在内的全身综合管理方案。此外，本文剖析了基层常见的创面处理误区，并明确了向上级医院转诊的绝对指征，旨在为基层医务人员提供科学、规范的创面诊疗指导，进而提升临床处理能力，改善患者预后并降低截肢风险。</w:t>
      </w:r>
    </w:p>
    <w:p w14:paraId="5C87B39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慢性难愈合创面是指经过常规治疗4-6周仍未能愈合的创面，主要包括糖尿病足溃疡、压疮（压力性损伤）、静脉性溃疡、动脉性溃疡及创伤后慢性创面等。随着我国人口老龄化进程加速和糖尿病患病率的持续攀升，慢性难愈合创面已成为基层医疗机构面临的重大公共卫生挑战。据《中国糖尿病足防治指南（2024版）》数据显示，我国糖尿病患者中约15%-25%会在病程中发生足部溃疡，其中约20%的患者最终需要截肢。</w:t>
      </w:r>
    </w:p>
    <w:p w14:paraId="3CC6A07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基层医疗实践中，慢性创面的规范化管理仍存在诸多问题：部分基层医生对创面评估缺乏系统认识，清创操作不够规范，敷料选择存在盲目性，对转诊指征把握不准确，导致创面愈合延迟、感染加重甚至病情恶化。因此，提升基层医务人员对糖尿病足及慢性难愈合创面的规范化诊疗能力，对于改善患者预后、降低截肢率、减轻医疗负担具有重要的现实意义。</w:t>
      </w:r>
    </w:p>
    <w:p w14:paraId="7DB4D02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文以基层实用性为导向，系统阐述糖尿病足及慢性难愈合创面的发病机制、评估方法、清创技术、换药策略和全身治疗原则，重点讲解基层医院条件下可操作的换药技巧和材料选择，明确转诊指征，帮助基层医生建立规范的创面管理思维，提高临床处理能力。</w:t>
      </w:r>
    </w:p>
    <w:p w14:paraId="052CBB32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1928" w:firstLineChars="6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Toc002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第一部分：发病机制与基层评估</w:t>
      </w:r>
      <w:bookmarkEnd w:id="0"/>
    </w:p>
    <w:p w14:paraId="493B4518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一、糖尿病足的病理生理机制</w:t>
      </w:r>
    </w:p>
    <w:p w14:paraId="5E0872F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糖尿病足的发生是多因素共同作用的结果，其病理生理机制复杂，主要包括以下几个方面：</w:t>
      </w:r>
    </w:p>
    <w:p w14:paraId="156AD7B0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 神经病变机制</w:t>
      </w:r>
    </w:p>
    <w:p w14:paraId="4780EC6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糖尿病周围神经病变是糖尿病足溃疡发生的重要基础。长期高血糖状态导致多元醇通路激活、晚期糖基化终末产物（AGEs）积聚、氧化应激增强及神经营养因子缺乏，引起神经纤维脱髓鞘和轴突变性。感觉神经病变使患者对疼痛、温度、压力等保护性感觉减退或消失，无法及时察觉足部损伤；运动神经病变导致足部肌肉萎缩、足弓塌陷，形成异常受力点；自主神经病变引起皮肤干燥、皲裂，皮肤屏障功能受损。这三种神经病变的协同作用显著增加了足部溃疡的发生风险。</w:t>
      </w:r>
    </w:p>
    <w:p w14:paraId="1BF4B67F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 血管病变机制</w:t>
      </w:r>
    </w:p>
    <w:p w14:paraId="0364047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糖尿病血管病变包括大血管病变和微血管病变。大血管病变主要表现为动脉粥样硬化，累及股动脉、腘动脉及胫前、胫后动脉，导致下肢缺血。微血管病变则表现为毛细血管基底膜增厚、内皮细胞功能障碍、血管通透性增加，影响组织灌注和营养物质交换。缺血状态使创面局部氧分压降低，成纤维细胞增殖受阻，胶原蛋白合成减少，肉芽组织生长缓慢，创面愈合能力显著下降。</w:t>
      </w:r>
    </w:p>
    <w:p w14:paraId="16E93F9C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 免疫功能障碍与感染</w:t>
      </w:r>
    </w:p>
    <w:p w14:paraId="05B3C84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糖尿病患者存在免疫功能紊乱，表现为中性粒细胞趋化、吞噬和杀菌能力下降，细胞免疫功能受损，炎症反应延迟且不充分。当皮肤屏障破坏后，细菌易于侵入并定植，感染风险显著增加。感染进一步加重局部炎症反应，释放大量炎症介质和蛋白酶，导致组织破坏和坏死，形成恶性循环。严重感染可引发脓毒症，危及生命。</w:t>
      </w:r>
    </w:p>
    <w:p w14:paraId="7D808D2D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二、慢性创面愈合障碍的病理机制</w:t>
      </w:r>
    </w:p>
    <w:p w14:paraId="3222B32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正常创面愈合经历止血期、炎症期、增殖期和重塑期四个阶段，各阶段有序衔接、相互协调。慢性难愈合创面则存在愈合过程的停滞或失衡，主要表现为：</w:t>
      </w:r>
    </w:p>
    <w:p w14:paraId="1C4B3E6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炎症期延长：慢性创面中巨噬细胞表型失衡，M1型促炎巨噬细胞持续存在，释放大量促炎因子如TNF-α、IL-1β、IL-6等，同时基质金属蛋白酶（MMPs）活性增高，破坏细胞外基质和生长因子，阻碍创面向增殖期过渡。</w:t>
      </w:r>
    </w:p>
    <w:p w14:paraId="20C8675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（2）细胞增殖受阻：慢性创面局部缺氧、营养不良、衰老细胞积聚，导致角质形成细胞、成纤维细胞和内皮细胞增殖能力下降，肉芽组织形成缓慢。</w:t>
      </w:r>
    </w:p>
    <w:p w14:paraId="1C06BAF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（3）生长因子缺乏：慢性创面中血小板源性生长因子（PDGF）、转化生长因子-β（TGF-β）、血管内皮生长因子（VEGF）等关键生长因子含量降低或活性受抑，影响细胞迁移、增殖和血管新生。</w:t>
      </w:r>
    </w:p>
    <w:p w14:paraId="7F223D93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三、基层创面评估方法</w:t>
      </w:r>
    </w:p>
    <w:p w14:paraId="33F1D329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 TIME原则评估</w:t>
      </w:r>
    </w:p>
    <w:p w14:paraId="523824C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TIME原则是国际创面愈合学会推荐的慢性创面评估框架，包括四个核心要素：</w:t>
      </w:r>
    </w:p>
    <w:p w14:paraId="38EEB02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T（Tissue，组织）：评估创基组织状态。健康肉芽组织呈鲜红色、颗粒状、触之易出血；不健康组织包括坏死组织（黑色/褐色痂皮）、腐肉（黄色/白色松软组织）和纤维板（灰白色坚韧组织）。基层医生应记录坏死组织和腐肉的面积比例，作为清创需求的依据。</w:t>
      </w:r>
    </w:p>
    <w:p w14:paraId="4B91D4A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I（Infection/Inflammation，感染/炎症）：评估感染征象。局部感染表现为创周红肿、疼痛加剧、脓性分泌物、异味；蜂窝织炎表现为创周红肿扩散、皮温升高；全身感染则伴有发热、寒战、白细胞升高等全身症状。基层医生应学会区分细菌定植与临床感染：定植指创面存在细菌但无感染征象；感染则存在明确的炎症反应和组织破坏。</w:t>
      </w:r>
    </w:p>
    <w:p w14:paraId="56C9001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（Moisture，湿度）：评估创面渗出情况。渗出量分为少量（敷料干燥或轻微湿润）、中等（敷料明显湿润但不渗漏）、大量（敷料饱和并渗漏）。渗出过多会浸渍周围皮肤，渗出不足则影响细胞迁移和生长因子扩散。</w:t>
      </w:r>
    </w:p>
    <w:p w14:paraId="3F16813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E（Edge，创缘）：评估创缘状态。正常愈合的创面创缘逐渐内卷、上皮化；愈合停滞的创面创缘平整或外翻，上皮迁移受阻。创缘情况反映创面愈合的活跃程度。</w:t>
      </w:r>
    </w:p>
    <w:p w14:paraId="43C3F6FF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 Wagner分级系统</w:t>
      </w:r>
    </w:p>
    <w:p w14:paraId="787F7CE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Wagner分级是糖尿病足溃疡最经典的分级方法，基层医生应熟练掌握：</w:t>
      </w:r>
    </w:p>
    <w:tbl>
      <w:tblPr>
        <w:tblStyle w:val="8"/>
        <w:tblW w:w="5000" w:type="pct"/>
        <w:tblInd w:w="0" w:type="dxa"/>
        <w:tblBorders>
          <w:top w:val="single" w:color="1E4D7A" w:sz="12" w:space="0"/>
          <w:left w:val="none" w:color="auto" w:sz="0" w:space="0"/>
          <w:bottom w:val="single" w:color="1E4D7A" w:sz="12" w:space="0"/>
          <w:right w:val="none" w:color="auto" w:sz="0" w:space="0"/>
          <w:insideH w:val="single" w:color="CBD5E1" w:sz="4" w:space="0"/>
          <w:insideV w:val="none" w:color="auto" w:sz="0" w:space="0"/>
        </w:tblBorders>
        <w:tblLayout w:type="autofit"/>
        <w:tblCellMar>
          <w:top w:w="100" w:type="dxa"/>
          <w:left w:w="150" w:type="dxa"/>
          <w:bottom w:w="100" w:type="dxa"/>
          <w:right w:w="150" w:type="dxa"/>
        </w:tblCellMar>
      </w:tblPr>
      <w:tblGrid>
        <w:gridCol w:w="1693"/>
        <w:gridCol w:w="7339"/>
      </w:tblGrid>
      <w:tr w14:paraId="6A46DF33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400" w:hRule="atLeast"/>
          <w:tblHeader/>
        </w:trPr>
        <w:tc>
          <w:tcPr>
            <w:tcW w:w="1500" w:type="dxa"/>
            <w:shd w:val="clear" w:color="auto" w:fill="E8F0F8"/>
            <w:vAlign w:val="center"/>
          </w:tcPr>
          <w:p w14:paraId="436A860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分级</w:t>
            </w:r>
          </w:p>
        </w:tc>
        <w:tc>
          <w:tcPr>
            <w:tcW w:w="6500" w:type="dxa"/>
            <w:shd w:val="clear" w:color="auto" w:fill="E8F0F8"/>
            <w:vAlign w:val="center"/>
          </w:tcPr>
          <w:p w14:paraId="4983F68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szCs w:val="32"/>
              </w:rPr>
              <w:t>描述</w:t>
            </w:r>
          </w:p>
        </w:tc>
      </w:tr>
      <w:tr w14:paraId="7830E239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 w14:paraId="16C8106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0级</w:t>
            </w:r>
          </w:p>
        </w:tc>
        <w:tc>
          <w:tcPr>
            <w:tcW w:w="6500" w:type="dxa"/>
            <w:vAlign w:val="center"/>
          </w:tcPr>
          <w:p w14:paraId="4DB97C2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有发生足溃疡危险因素，目前无溃疡</w:t>
            </w:r>
          </w:p>
        </w:tc>
      </w:tr>
      <w:tr w14:paraId="55705A32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 w14:paraId="69DEDC1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1级</w:t>
            </w:r>
          </w:p>
        </w:tc>
        <w:tc>
          <w:tcPr>
            <w:tcW w:w="6500" w:type="dxa"/>
            <w:vAlign w:val="center"/>
          </w:tcPr>
          <w:p w14:paraId="3E67947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表浅溃疡，未累及深层组织</w:t>
            </w:r>
          </w:p>
        </w:tc>
      </w:tr>
      <w:tr w14:paraId="46E8D9C1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 w14:paraId="537CA44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2级</w:t>
            </w:r>
          </w:p>
        </w:tc>
        <w:tc>
          <w:tcPr>
            <w:tcW w:w="6500" w:type="dxa"/>
            <w:vAlign w:val="center"/>
          </w:tcPr>
          <w:p w14:paraId="261E8B7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溃疡加深，累及肌腱、骨或关节囊</w:t>
            </w:r>
          </w:p>
        </w:tc>
      </w:tr>
      <w:tr w14:paraId="1EC47330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 w14:paraId="1F7D21F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3级</w:t>
            </w:r>
          </w:p>
        </w:tc>
        <w:tc>
          <w:tcPr>
            <w:tcW w:w="6500" w:type="dxa"/>
            <w:vAlign w:val="center"/>
          </w:tcPr>
          <w:p w14:paraId="44DF427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深部溃疡伴脓肿、骨髓炎</w:t>
            </w:r>
          </w:p>
        </w:tc>
      </w:tr>
      <w:tr w14:paraId="62EC7F13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 w14:paraId="7FA6C64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4级</w:t>
            </w:r>
          </w:p>
        </w:tc>
        <w:tc>
          <w:tcPr>
            <w:tcW w:w="6500" w:type="dxa"/>
            <w:vAlign w:val="center"/>
          </w:tcPr>
          <w:p w14:paraId="3954579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局限性坏疽（趾、足跟或前足背）</w:t>
            </w:r>
          </w:p>
        </w:tc>
      </w:tr>
      <w:tr w14:paraId="64B2817E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 w14:paraId="1F079E4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5级</w:t>
            </w:r>
          </w:p>
        </w:tc>
        <w:tc>
          <w:tcPr>
            <w:tcW w:w="6500" w:type="dxa"/>
            <w:vAlign w:val="center"/>
          </w:tcPr>
          <w:p w14:paraId="4AE4D93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90" w:lineRule="exact"/>
              <w:ind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全足坏疽</w:t>
            </w:r>
          </w:p>
        </w:tc>
      </w:tr>
    </w:tbl>
    <w:p w14:paraId="2DAE3C6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基层医生应重点掌握0-3级的识别：0级为高危足，需加强预防教育；1-2级为浅表溃疡，可在基层处理；3级及以上或合并严重缺血、感染的创面，应及时转诊。</w:t>
      </w:r>
    </w:p>
    <w:p w14:paraId="6A782B6E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 周围血管评估</w:t>
      </w:r>
    </w:p>
    <w:p w14:paraId="75FF9A2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基层可用的血管评估方法包括：（1）足背动脉和胫后动脉触诊，记录搏动有无及强弱；（2）踝肱指数（ABI）测定，ABI&lt;0.9提示下肢动脉病变，ABI&gt;1.3提示血管钙化；（3）观察足部皮肤颜色、温度、毛发分布，缺血表现为皮肤苍白、皮温降低、毛发稀疏；（4）毛细血管再充盈时间，正常&lt;3秒，延长提示灌注不足。</w:t>
      </w:r>
    </w:p>
    <w:p w14:paraId="6C1CA7F3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891" w:firstLineChars="9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1" w:name="_Toc003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第二部分：基层清创规范</w:t>
      </w:r>
      <w:bookmarkEnd w:id="1"/>
    </w:p>
    <w:p w14:paraId="368C2603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一、清创的适应证与禁忌证</w:t>
      </w:r>
    </w:p>
    <w:p w14:paraId="5D086A8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清创是慢性创面管理的核心环节，其目的是去除坏死组织、减少细菌负荷、促进肉芽组织生长。适应证包括：创面存在坏死组织、腐肉或纤维板；创面感染需要引流；创面愈合停滞需要刺激。</w:t>
      </w:r>
    </w:p>
    <w:p w14:paraId="276026A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绝对禁忌证：干性坏疽且血供未改善（强行清创可能扩大坏死范围）；暴露的肌腱、骨骼、大血管（清创风险过高）。相对禁忌证：严重凝血功能障碍；全身情况不稳定；患者疼痛无法配合。</w:t>
      </w:r>
    </w:p>
    <w:p w14:paraId="31905603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二、保守性锐性清创操作规范</w:t>
      </w:r>
    </w:p>
    <w:p w14:paraId="0DDCA019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 器械准备</w:t>
      </w:r>
    </w:p>
    <w:p w14:paraId="0CFF8FA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基层清创应准备以下器械：无菌换药包（弯盘、镊子、剪刀、止血钳）、一次性手术刀片（11号或15号）、无菌生理盐水、0.5%碘伏、无菌纱布、无菌手套、一次性注射器（用于局部麻醉）、2%利多卡因（局麻药）、止血材料（明胶海绵、止血纱布）、敷料（根据创面情况选择）。</w:t>
      </w:r>
    </w:p>
    <w:p w14:paraId="5DD1F9CF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 操作步骤</w:t>
      </w:r>
    </w:p>
    <w:p w14:paraId="2AFD5B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步骤一：评估与准备。核对患者信息，评估创面情况及全身状态，解释操作过程取得配合，摆好舒适体位，充分暴露创面，注意保护隐私。</w:t>
      </w:r>
    </w:p>
    <w:p w14:paraId="65CC674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步骤二：创面清洗。用无菌生理盐水冲洗创面，去除表面分泌物和松散坏死组织。避免使用双氧水、碘酒等刺激性液体直接冲洗创面，以免损伤新生组织。</w:t>
      </w:r>
    </w:p>
    <w:p w14:paraId="01BE49E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步骤三：局部麻醉。对于敏感患者，可在创周正常皮肤注射2%利多卡因进行局部浸润麻醉，注意回抽无血后再注射，避免注入血管内。</w:t>
      </w:r>
    </w:p>
    <w:p w14:paraId="6EAA81A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步骤四：锐性清创。用手术刀片或剪刀沿坏死组织与健康组织交界处切除坏死组织，动作轻柔、层次清晰，避免损伤健康组织和重要结构。对于紧贴骨面的坏死组织，可先用剪刀分离后再切除。清创应遵循“由浅入深、由周围向中心”的原则。</w:t>
      </w:r>
    </w:p>
    <w:p w14:paraId="20299C0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步骤五：止血处理。清创后创面常有渗血，可用无菌纱布轻压止血，必要时使用明胶海绵或止血纱布填塞。避免过度止血，适度渗血有助于生长因子释放。</w:t>
      </w:r>
    </w:p>
    <w:p w14:paraId="18695A5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步骤六：敷料覆盖。根据创面情况选择合适敷料覆盖，固定妥善。</w:t>
      </w:r>
    </w:p>
    <w:p w14:paraId="760B964B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 出血应对</w:t>
      </w:r>
    </w:p>
    <w:p w14:paraId="13C35ED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清创过程中出血的处理：（1）小量渗血：用无菌纱布轻压5-10分钟，通常可自行止血；（2）活动性出血：明确出血点后用止血钳夹持，必要时缝合止血；（3）弥漫性渗血：使用止血材料填塞，加压包扎；（4）大出血：立即压迫止血，建立静脉通路，准备输血，紧急转诊。</w:t>
      </w:r>
    </w:p>
    <w:p w14:paraId="23284467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 疼痛管理</w:t>
      </w:r>
    </w:p>
    <w:p w14:paraId="7907822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清创前可口服非甾体抗炎药（如布洛芬0.3-0.6g）镇痛；清创中采用局部麻醉；清创后疼痛明显者可给予镇痛药物。对于疼痛敏感或创面较大的患者，可考虑分次清创，避免一次操作时间过长。</w:t>
      </w:r>
    </w:p>
    <w:p w14:paraId="7E41E0CF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三、其他清创方法</w:t>
      </w:r>
    </w:p>
    <w:p w14:paraId="0CA7D4F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溶性清创：利用机体自身酶分解坏死组织，适用于渗出较多的创面。方法是使用水胶体或水凝胶敷料覆盖创面，保持湿润环境，让机体白细胞和酶自然清创。优点是选择性高、不损伤健康组织、无痛；缺点是速度慢，不适合感染创面。</w:t>
      </w:r>
    </w:p>
    <w:p w14:paraId="14435E0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机械清创：用湿纱布擦拭或冲洗去除坏死组织，适用于松散的坏死组织。注意动作轻柔，避免损伤健康肉芽组织。</w:t>
      </w:r>
    </w:p>
    <w:p w14:paraId="55A7F41E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2" w:name="_Toc004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第三部分：换药指导与敷料选择</w:t>
      </w:r>
      <w:bookmarkEnd w:id="2"/>
    </w:p>
    <w:p w14:paraId="6E150A0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敷料选择是创面管理的关键环节，正确的敷料选择可以促进愈合、减少感染、减轻疼痛、提高患者舒适度。基层医生应掌握常用敷料的特性和适应证，根据创面情况个体化选择。</w:t>
      </w:r>
    </w:p>
    <w:p w14:paraId="3F26904D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一、基层常备敷料及其特性</w:t>
      </w:r>
    </w:p>
    <w:p w14:paraId="6433FC06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 传统纱布敷料</w:t>
      </w:r>
    </w:p>
    <w:p w14:paraId="5E6DEFD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包括无菌纱布块和凡士林纱布。纱布敷料具有吸液能力强、价格低廉、易于获取的优点，适用于渗出较多的创面。缺点是容易与创面粘连，换药时造成二次损伤和疼痛；不能维持湿润环境，愈合速度较慢；屏障作用有限，不能防止细菌侵入。使用时应根据渗出量决定更换频率，通常每天1-2次。</w:t>
      </w:r>
    </w:p>
    <w:p w14:paraId="0616D0AD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 水胶体敷料</w:t>
      </w:r>
    </w:p>
    <w:p w14:paraId="494BE47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由羧甲基纤维素钠、明胶、果胶等亲水性颗粒与弹性体组成。特性：吸收少量至中等量渗出，形成凝胶状物质，维持湿润愈合环境；防水透气，可沐浴；自溶性清创作用。适用于浅表、渗出少的创面（如1-2级压疮、浅表烧伤、静脉性溃疡）。不适用于感染创面、深腔创面、渗出多的创面。更换频率：通常每3-7天更换一次，或当敷料变白、渗漏时更换。</w:t>
      </w:r>
    </w:p>
    <w:p w14:paraId="7F16A628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 水凝胶敷料</w:t>
      </w:r>
    </w:p>
    <w:p w14:paraId="7E4C83D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由含水量高的交联聚合物组成，呈凝胶状。特性：提供水分、维持湿润环境；促进自溶性清创；冷却镇痛作用。适用于干燥、坏死组织多的创面；疼痛明显的浅表创面。不适用于渗出多的创面（会浸渍周围皮肤）。更换频率：每天1-2次，或根据产品说明。</w:t>
      </w:r>
    </w:p>
    <w:p w14:paraId="5729DE55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 泡沫敷料</w:t>
      </w:r>
    </w:p>
    <w:p w14:paraId="315B86A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由聚氨酯泡沫制成，具有多孔结构。特性：吸收中到大量渗出；维持湿润环境但不浸渍；缓冲保护、隔热；部分产品有粘性边缘便于固定。适用于渗出中到大量的创面（如2-3级压疮、糖尿病足溃疡、术后创面）。不适用于干燥创面、感染性创面（非抗菌型）。更换频率：每2-7天一次，视渗出量而定。</w:t>
      </w:r>
    </w:p>
    <w:p w14:paraId="1D960DC3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 银离子敷料</w:t>
      </w:r>
    </w:p>
    <w:p w14:paraId="72B88E7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含有银离子或纳米银，具有广谱抗菌作用。特性：持续释放银离子，杀灭细菌、真菌；减少生物膜形成；部分产品兼具吸收功能。适用于感染或感染高风险的创面；生物膜相关创面。注意事项：不宜长期使用（通常不超过2周），避免银离子蓄积；部分患者可能对银过敏；价格较高。更换频率：根据产品说明，通常每1-3天更换。</w:t>
      </w:r>
    </w:p>
    <w:p w14:paraId="70C5DECC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6. 藻酸盐敷料</w:t>
      </w:r>
    </w:p>
    <w:p w14:paraId="6815496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由褐藻中提取的藻酸钙制成，呈纤维状或片状。特性：吸收大量渗出，接触渗出后形成凝胶，填充死腔；止血作用。适用于渗出大量、有死腔的创面；出血创面。不适用于干燥创面、表浅创面。更换频率：每天1-2次，渗出多时可更频繁。</w:t>
      </w:r>
    </w:p>
    <w:p w14:paraId="5492A608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二、敷料选择策略</w:t>
      </w:r>
    </w:p>
    <w:p w14:paraId="0A8554B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敷料选择应基于TIME原则评估结果，综合考虑创面组织状态、感染程度、渗出量、创缘情况和患者全身状况。以下是基层常用的选择策略：</w:t>
      </w:r>
    </w:p>
    <w:tbl>
      <w:tblPr>
        <w:tblStyle w:val="8"/>
        <w:tblW w:w="5000" w:type="pct"/>
        <w:tblInd w:w="0" w:type="dxa"/>
        <w:tblBorders>
          <w:top w:val="single" w:color="1E4D7A" w:sz="12" w:space="0"/>
          <w:left w:val="none" w:color="auto" w:sz="0" w:space="0"/>
          <w:bottom w:val="single" w:color="1E4D7A" w:sz="12" w:space="0"/>
          <w:right w:val="none" w:color="auto" w:sz="0" w:space="0"/>
          <w:insideH w:val="single" w:color="CBD5E1" w:sz="4" w:space="0"/>
          <w:insideV w:val="none" w:color="auto" w:sz="0" w:space="0"/>
        </w:tblBorders>
        <w:tblLayout w:type="autofit"/>
        <w:tblCellMar>
          <w:top w:w="100" w:type="dxa"/>
          <w:left w:w="150" w:type="dxa"/>
          <w:bottom w:w="100" w:type="dxa"/>
          <w:right w:w="150" w:type="dxa"/>
        </w:tblCellMar>
      </w:tblPr>
      <w:tblGrid>
        <w:gridCol w:w="2258"/>
        <w:gridCol w:w="2258"/>
        <w:gridCol w:w="2258"/>
        <w:gridCol w:w="2258"/>
      </w:tblGrid>
      <w:tr w14:paraId="58F3C100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400" w:hRule="atLeast"/>
          <w:tblHeader/>
        </w:trPr>
        <w:tc>
          <w:tcPr>
            <w:tcW w:w="2000" w:type="dxa"/>
            <w:shd w:val="clear" w:color="auto" w:fill="E8F0F8"/>
            <w:vAlign w:val="center"/>
          </w:tcPr>
          <w:p w14:paraId="17C2DAB6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</w:rPr>
              <w:t>创面类型</w:t>
            </w:r>
          </w:p>
        </w:tc>
        <w:tc>
          <w:tcPr>
            <w:tcW w:w="2000" w:type="dxa"/>
            <w:shd w:val="clear" w:color="auto" w:fill="E8F0F8"/>
            <w:vAlign w:val="center"/>
          </w:tcPr>
          <w:p w14:paraId="266870AD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</w:rPr>
              <w:t>渗出量</w:t>
            </w:r>
          </w:p>
        </w:tc>
        <w:tc>
          <w:tcPr>
            <w:tcW w:w="2000" w:type="dxa"/>
            <w:shd w:val="clear" w:color="auto" w:fill="E8F0F8"/>
            <w:vAlign w:val="center"/>
          </w:tcPr>
          <w:p w14:paraId="4E847863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</w:rPr>
              <w:t>推荐敷料</w:t>
            </w:r>
          </w:p>
        </w:tc>
        <w:tc>
          <w:tcPr>
            <w:tcW w:w="2000" w:type="dxa"/>
            <w:shd w:val="clear" w:color="auto" w:fill="E8F0F8"/>
            <w:vAlign w:val="center"/>
          </w:tcPr>
          <w:p w14:paraId="4C59E9C3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</w:rPr>
              <w:t>更换频率</w:t>
            </w:r>
          </w:p>
        </w:tc>
      </w:tr>
      <w:tr w14:paraId="1BEF3103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2000" w:type="dxa"/>
            <w:vAlign w:val="center"/>
          </w:tcPr>
          <w:p w14:paraId="15236441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干燥/结痂</w:t>
            </w:r>
          </w:p>
        </w:tc>
        <w:tc>
          <w:tcPr>
            <w:tcW w:w="2000" w:type="dxa"/>
            <w:vAlign w:val="center"/>
          </w:tcPr>
          <w:p w14:paraId="31255D04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少</w:t>
            </w:r>
          </w:p>
        </w:tc>
        <w:tc>
          <w:tcPr>
            <w:tcW w:w="2000" w:type="dxa"/>
            <w:vAlign w:val="center"/>
          </w:tcPr>
          <w:p w14:paraId="3B17C8F7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水凝胶</w:t>
            </w:r>
          </w:p>
        </w:tc>
        <w:tc>
          <w:tcPr>
            <w:tcW w:w="2000" w:type="dxa"/>
            <w:vAlign w:val="center"/>
          </w:tcPr>
          <w:p w14:paraId="664A3380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每日1-2次</w:t>
            </w:r>
          </w:p>
        </w:tc>
      </w:tr>
      <w:tr w14:paraId="341B6FB9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2000" w:type="dxa"/>
            <w:vAlign w:val="center"/>
          </w:tcPr>
          <w:p w14:paraId="3E964302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浅表/健康</w:t>
            </w:r>
          </w:p>
        </w:tc>
        <w:tc>
          <w:tcPr>
            <w:tcW w:w="2000" w:type="dxa"/>
            <w:vAlign w:val="center"/>
          </w:tcPr>
          <w:p w14:paraId="10352C7C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少-中</w:t>
            </w:r>
          </w:p>
        </w:tc>
        <w:tc>
          <w:tcPr>
            <w:tcW w:w="2000" w:type="dxa"/>
            <w:vAlign w:val="center"/>
          </w:tcPr>
          <w:p w14:paraId="5B601F09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水胶体</w:t>
            </w:r>
          </w:p>
        </w:tc>
        <w:tc>
          <w:tcPr>
            <w:tcW w:w="2000" w:type="dxa"/>
            <w:vAlign w:val="center"/>
          </w:tcPr>
          <w:p w14:paraId="2E3A65AC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3-7天</w:t>
            </w:r>
          </w:p>
        </w:tc>
      </w:tr>
      <w:tr w14:paraId="47F87B23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2000" w:type="dxa"/>
            <w:vAlign w:val="center"/>
          </w:tcPr>
          <w:p w14:paraId="6D2C1A15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肉芽创面</w:t>
            </w:r>
          </w:p>
        </w:tc>
        <w:tc>
          <w:tcPr>
            <w:tcW w:w="2000" w:type="dxa"/>
            <w:vAlign w:val="center"/>
          </w:tcPr>
          <w:p w14:paraId="595CBE44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中</w:t>
            </w:r>
          </w:p>
        </w:tc>
        <w:tc>
          <w:tcPr>
            <w:tcW w:w="2000" w:type="dxa"/>
            <w:vAlign w:val="center"/>
          </w:tcPr>
          <w:p w14:paraId="23CD369A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泡沫敷料</w:t>
            </w:r>
          </w:p>
        </w:tc>
        <w:tc>
          <w:tcPr>
            <w:tcW w:w="2000" w:type="dxa"/>
            <w:vAlign w:val="center"/>
          </w:tcPr>
          <w:p w14:paraId="2BD0401F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2-5天</w:t>
            </w:r>
          </w:p>
        </w:tc>
      </w:tr>
      <w:tr w14:paraId="772E9D33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2000" w:type="dxa"/>
            <w:vAlign w:val="center"/>
          </w:tcPr>
          <w:p w14:paraId="7B55F361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感染创面</w:t>
            </w:r>
          </w:p>
        </w:tc>
        <w:tc>
          <w:tcPr>
            <w:tcW w:w="2000" w:type="dxa"/>
            <w:vAlign w:val="center"/>
          </w:tcPr>
          <w:p w14:paraId="1E32CDAE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不定</w:t>
            </w:r>
          </w:p>
        </w:tc>
        <w:tc>
          <w:tcPr>
            <w:tcW w:w="2000" w:type="dxa"/>
            <w:vAlign w:val="center"/>
          </w:tcPr>
          <w:p w14:paraId="565D9DD8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银离子+泡沫</w:t>
            </w:r>
          </w:p>
        </w:tc>
        <w:tc>
          <w:tcPr>
            <w:tcW w:w="2000" w:type="dxa"/>
            <w:vAlign w:val="center"/>
          </w:tcPr>
          <w:p w14:paraId="2DF283CD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1-3天</w:t>
            </w:r>
          </w:p>
        </w:tc>
      </w:tr>
      <w:tr w14:paraId="1EDB06AC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2000" w:type="dxa"/>
            <w:vAlign w:val="center"/>
          </w:tcPr>
          <w:p w14:paraId="789C092B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深腔/大量渗出</w:t>
            </w:r>
          </w:p>
        </w:tc>
        <w:tc>
          <w:tcPr>
            <w:tcW w:w="2000" w:type="dxa"/>
            <w:vAlign w:val="center"/>
          </w:tcPr>
          <w:p w14:paraId="4708EF8C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多</w:t>
            </w:r>
          </w:p>
        </w:tc>
        <w:tc>
          <w:tcPr>
            <w:tcW w:w="2000" w:type="dxa"/>
            <w:vAlign w:val="center"/>
          </w:tcPr>
          <w:p w14:paraId="3D76F385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藻酸盐+泡沫</w:t>
            </w:r>
          </w:p>
        </w:tc>
        <w:tc>
          <w:tcPr>
            <w:tcW w:w="2000" w:type="dxa"/>
            <w:vAlign w:val="center"/>
          </w:tcPr>
          <w:p w14:paraId="0A1E916F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每日1-2次</w:t>
            </w:r>
          </w:p>
        </w:tc>
      </w:tr>
    </w:tbl>
    <w:p w14:paraId="0686A8E5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三、换药操作流程</w:t>
      </w:r>
    </w:p>
    <w:p w14:paraId="7A7DA485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 换药前准备</w:t>
      </w:r>
    </w:p>
    <w:p w14:paraId="2BC49A4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核对患者信息，评估创面愈合情况（大小、深度、组织状态、渗出、感染征象），准备所需物品（按使用顺序摆放），解释操作过程，保护隐私，摆好体位。</w:t>
      </w:r>
    </w:p>
    <w:p w14:paraId="698AE42D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 去除旧敷料</w:t>
      </w:r>
    </w:p>
    <w:p w14:paraId="5D2759F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沿毛发方向缓慢揭除敷料，避免牵拉损伤皮肤。如敷料与创面粘连，可用生理盐水湿润后再揭除。观察并记录旧敷料的渗液量、颜色和气味。</w:t>
      </w:r>
    </w:p>
    <w:p w14:paraId="452F46FC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 创面清洗</w:t>
      </w:r>
    </w:p>
    <w:p w14:paraId="59AACF6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无菌生理盐水冲洗创面，从创面中心向外周冲洗，避免将周围细菌带入创面。对于深腔创面，可用注射器抽取生理盐水低压冲洗。避免使用高压冲洗，以免将细菌冲入深部组织。清洗后用无菌纱布轻轻吸干创面周围皮肤，保持干燥。</w:t>
      </w:r>
    </w:p>
    <w:p w14:paraId="2B39263A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 创面评估与处理</w:t>
      </w:r>
    </w:p>
    <w:p w14:paraId="50EAE60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观察创面组织状态，如有坏死组织需清创；如有感染征象需留取分泌物培养；测量并记录创面大小（长×宽×深，单位cm），可用拍照记录。</w:t>
      </w:r>
    </w:p>
    <w:p w14:paraId="55D7FD7F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 敷料放置</w:t>
      </w:r>
    </w:p>
    <w:p w14:paraId="66595AE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根据创面大小和深度裁剪敷料，敷料应超出创缘2-3cm。对于深腔创面，敷料应 loosely 填充（不要过紧），保证引流。放置敷料后妥善固定，避免过紧影响血运。</w:t>
      </w:r>
    </w:p>
    <w:p w14:paraId="0453F4EF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6. 换药后处理</w:t>
      </w:r>
    </w:p>
    <w:p w14:paraId="7A3DD6B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协助患者恢复舒适体位，交代注意事项（保持敷料干燥、观察渗液情况、异常及时就诊），记录换药情况（日期、创面评估、处理措施、患者反应）。</w:t>
      </w:r>
    </w:p>
    <w:p w14:paraId="27F24761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四、周围皮肤保护</w:t>
      </w:r>
    </w:p>
    <w:p w14:paraId="1FC1590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慢性创面周围皮肤常因渗出浸渍、反复粘贴、感染等因素受损，影响创面愈合和患者舒适度。保护措施包括：（1）使用皮肤保护膜（如液体敷料）涂抹周围皮肤，形成保护屏障；（2）选择低致敏性、低粘性的敷料和固定材料；（3）去除敷料时动作轻柔，沿毛发方向缓慢揭除；（4）对于渗出多的创面，及时更换敷料，避免浸渍；（5）已出现皮肤浸渍或皮炎时，可外用氧化锌软膏或皮肤屏障霜。</w:t>
      </w:r>
    </w:p>
    <w:p w14:paraId="296FEEA5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1928" w:firstLineChars="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3" w:name="_Toc005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第四部分：全身治疗与综合管理</w:t>
      </w:r>
      <w:bookmarkEnd w:id="3"/>
    </w:p>
    <w:p w14:paraId="4CF73856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一、血糖控制</w:t>
      </w:r>
    </w:p>
    <w:p w14:paraId="4C8A7E3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血糖控制是糖尿病足治疗的基础。高血糖状态抑制免疫功能、影响胶原合成、延缓创面愈合。理想的血糖控制目标：空腹血糖4.4-7.0mmol/L，餐后2小时血糖&lt;10mmol/L，糖化血红蛋白（HbA1c）&lt;7%。对于合并感染的急性期患者，可适当放宽控制目标，避免低血糖风险。</w:t>
      </w:r>
    </w:p>
    <w:p w14:paraId="014BE4D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基层医生应指导患者：（1）规律监测血糖，感染期每天监测4-7次；（2）遵医嘱调整降糖药物，感染期常需胰岛素治疗；（3）合理饮食，保证蛋白质摄入促进创面愈合；（4）避免低血糖，尤其是老年患者。</w:t>
      </w:r>
    </w:p>
    <w:p w14:paraId="5E66BA42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二、抗感染治疗</w:t>
      </w:r>
    </w:p>
    <w:p w14:paraId="28903835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 感染分级与处理原则</w:t>
      </w:r>
    </w:p>
    <w:p w14:paraId="7F458AF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根据IDSA（美国感染病学会）标准，糖尿病足感染分为：轻度（表浅、无并发症）、中度（深部或播散）、重度（全身中毒症状）。轻度感染可口服抗生素，中重度感染需静脉用药并考虑住院。</w:t>
      </w:r>
    </w:p>
    <w:p w14:paraId="33E6BD6B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 基层经验用药方案</w:t>
      </w:r>
    </w:p>
    <w:p w14:paraId="7C0FF5B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轻度感染（无骨髓炎、无全身症状）：首选口服阿莫西林克拉维酸钾（0.375-0.625g，tid），或头孢氨苄（0.5g，qid）；青霉素过敏者可选用克林霉素（0.3g，tid）或左氧氟沙星（0.5g，qd）。疗程通常1-2周，根据治疗反应调整。</w:t>
      </w:r>
    </w:p>
    <w:p w14:paraId="10E4EAC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中度感染（深部组织受累、蜂窝织炎）：建议住院静脉用药，可选用头孢曲松（2g，qd）+甲硝唑（0.5g，q8h），或哌拉西林他唑巴坦（4.5g，q8h）。同时留取分泌物培养指导后续治疗。</w:t>
      </w:r>
    </w:p>
    <w:p w14:paraId="5D3F69F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注意事项：（1）经验用药应覆盖革兰阳性菌（金黄色葡萄球菌、链球菌）和革兰阴性菌；（2）有厌氧菌感染风险（恶臭、坏死组织多）时加用甲硝唑；（3）MRSA（耐甲氧西林金黄色葡萄球菌）高发地区或患者，考虑使用万古霉素或利奈唑胺；（4）根据培养结果和药敏试验及时调整抗生素。</w:t>
      </w:r>
    </w:p>
    <w:p w14:paraId="2AD4C2D6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三、营养支持</w:t>
      </w:r>
    </w:p>
    <w:p w14:paraId="3CD849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慢性创面患者常存在营养不良，影响免疫功能和组织修复。营养评估包括：体重指数（BMI）、血清白蛋白、前白蛋白、血红蛋白等。营养支持原则：</w:t>
      </w:r>
    </w:p>
    <w:p w14:paraId="0A84F0D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能量供给：25-30kcal/kg/d，保证充足热量；（2）蛋白质：1.2-1.5g/kg/d，优质蛋白占50%以上，促进胶原合成；（3）维生素C：100-200mg/d，促进胶原交联；（4）锌：15-30mg/d，参与细胞增殖和免疫功能；（5）维生素A：适量补充，促进上皮化；（6）控制血糖的同时避免过度限制饮食。</w:t>
      </w:r>
    </w:p>
    <w:p w14:paraId="377D9495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四、下肢血运改善</w:t>
      </w:r>
    </w:p>
    <w:p w14:paraId="4E75CCF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于合并下肢动脉病变的患者，改善血运是促进创面愈合的关键。基层可采取的措施：（1）戒烟：吸烟是下肢动脉病变的重要危险因素；（2）控制危险因素：降压、调脂、抗血小板；（3）运动康复：指导患者进行步行训练，促进侧支循环建立；（4）药物治疗：阿司匹林100mg/d抗血小板，西洛他唑（50-100mg，bid）改善间歇性跛行症状。对于ABI&lt;0.5或创面不愈合的患者，应转诊血管外科评估血运重建指征。</w:t>
      </w:r>
    </w:p>
    <w:p w14:paraId="38B335C5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五、减压治疗</w:t>
      </w:r>
    </w:p>
    <w:p w14:paraId="6C1F667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压是足底溃疡愈合的关键措施。基层可用的减压方法：（1）全接触石膏（TCC）：金标准减压方法，需专业培训；（2）可拆卸助行器：便于患者日常活动和创面检查；（3）减压鞋垫和特制鞋：分散足底压力；（4）卧床休息和轮椅活动：急性期严格避免患足负重。应教育患者和家属理解减压的重要性，提高依从性。</w:t>
      </w:r>
    </w:p>
    <w:p w14:paraId="1A779D9B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249" w:firstLineChars="7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4" w:name="_Toc006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第五部分：误区防范与转诊指征</w:t>
      </w:r>
      <w:bookmarkEnd w:id="4"/>
    </w:p>
    <w:p w14:paraId="563F36CE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一、基层常见不当处理</w:t>
      </w:r>
    </w:p>
    <w:p w14:paraId="6D12728E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 滥用抗生素粉末撒创面</w:t>
      </w:r>
    </w:p>
    <w:p w14:paraId="2BFE1C6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部分基层医生习惯将抗生素粉末（如磺胺粉、头孢粉）直接撒于创面，这种做法存在诸多弊端：（1）局部抗生素浓度过高，可能引起组织刺激和过敏反应；（2）破坏创面正常菌群平衡，增加耐药菌产生风险；（3）粉末与创面渗出混合形成硬痂，阻碍引流，反而加重感染；（4）不符合抗生素使用原则，可能掩盖病情。正确做法：全身应用抗生素控制感染，局部采用清创、引流和适当敷料。</w:t>
      </w:r>
    </w:p>
    <w:p w14:paraId="2ECB7996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 过度依赖“生肌药”</w:t>
      </w:r>
    </w:p>
    <w:p w14:paraId="71EA672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些传统“生肌药”（如各类散剂、膏剂）在基层仍有使用，但缺乏循证医学证据支持。部分产品成分不明，可能含有激素或重金属，长期使用危害患者健康。现代创面愈合理论强调湿润环境、清创和全身管理，不应过度依赖所谓的“生肌药”。</w:t>
      </w:r>
    </w:p>
    <w:p w14:paraId="63181ED2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 创面过度干燥</w:t>
      </w:r>
    </w:p>
    <w:p w14:paraId="6626F9A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传统观念认为创面应“晾着”保持干燥，这是错误的。干燥环境使创面结痂，阻碍上皮细胞迁移，延缓愈合。现代湿性愈合理论证实，适度湿润的环境有利于细胞增殖、生长因子活性和胶原合成。应使用适当的敷料维持创面湿润环境。</w:t>
      </w:r>
    </w:p>
    <w:p w14:paraId="2059E7F4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 换药过频或过少</w:t>
      </w:r>
    </w:p>
    <w:p w14:paraId="418362D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换药过频：频繁更换敷料会损伤新生肉芽组织，干扰愈合过程，增加感染机会。换药过少：敷料饱和后细菌易于繁殖，渗出浸渍周围皮肤。应根据渗出量和敷料特性决定更换频率，通常每1-3天一次。</w:t>
      </w:r>
    </w:p>
    <w:p w14:paraId="3F9E69D3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 忽视全身因素</w:t>
      </w:r>
    </w:p>
    <w:p w14:paraId="68A3E5B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只关注局部创面处理，忽视血糖控制、营养支持、血运改善等全身因素，是导致创面久治不愈的常见原因。应建立整体观念，综合管理。</w:t>
      </w:r>
    </w:p>
    <w:p w14:paraId="7B369EE9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二、必须立即转诊的绝对指征</w:t>
      </w:r>
    </w:p>
    <w:p w14:paraId="05DEE9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基层医生应掌握以下必须立即向上级医院（整形外科/烧伤科/血管外科/内分泌科）转诊的情况：</w:t>
      </w:r>
    </w:p>
    <w:tbl>
      <w:tblPr>
        <w:tblStyle w:val="8"/>
        <w:tblW w:w="5000" w:type="pct"/>
        <w:tblInd w:w="0" w:type="dxa"/>
        <w:tblBorders>
          <w:top w:val="single" w:color="1E4D7A" w:sz="12" w:space="0"/>
          <w:left w:val="none" w:color="auto" w:sz="0" w:space="0"/>
          <w:bottom w:val="single" w:color="1E4D7A" w:sz="12" w:space="0"/>
          <w:right w:val="none" w:color="auto" w:sz="0" w:space="0"/>
          <w:insideH w:val="single" w:color="CBD5E1" w:sz="4" w:space="0"/>
          <w:insideV w:val="none" w:color="auto" w:sz="0" w:space="0"/>
        </w:tblBorders>
        <w:tblLayout w:type="autofit"/>
        <w:tblCellMar>
          <w:top w:w="100" w:type="dxa"/>
          <w:left w:w="150" w:type="dxa"/>
          <w:bottom w:w="100" w:type="dxa"/>
          <w:right w:w="150" w:type="dxa"/>
        </w:tblCellMar>
      </w:tblPr>
      <w:tblGrid>
        <w:gridCol w:w="903"/>
        <w:gridCol w:w="8129"/>
      </w:tblGrid>
      <w:tr w14:paraId="2BE6A2F0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400" w:hRule="atLeast"/>
          <w:tblHeader/>
        </w:trPr>
        <w:tc>
          <w:tcPr>
            <w:tcW w:w="800" w:type="dxa"/>
            <w:shd w:val="clear" w:color="auto" w:fill="E8F0F8"/>
            <w:vAlign w:val="center"/>
          </w:tcPr>
          <w:p w14:paraId="47607236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</w:rPr>
              <w:t>序号</w:t>
            </w:r>
          </w:p>
        </w:tc>
        <w:tc>
          <w:tcPr>
            <w:tcW w:w="7200" w:type="dxa"/>
            <w:shd w:val="clear" w:color="auto" w:fill="E8F0F8"/>
            <w:vAlign w:val="center"/>
          </w:tcPr>
          <w:p w14:paraId="0F5FF2D5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</w:rPr>
              <w:t>转诊指征</w:t>
            </w:r>
          </w:p>
        </w:tc>
      </w:tr>
      <w:tr w14:paraId="694159F0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800" w:type="dxa"/>
            <w:vAlign w:val="center"/>
          </w:tcPr>
          <w:p w14:paraId="1E66C76A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1</w:t>
            </w:r>
          </w:p>
        </w:tc>
        <w:tc>
          <w:tcPr>
            <w:tcW w:w="7200" w:type="dxa"/>
            <w:vAlign w:val="center"/>
          </w:tcPr>
          <w:p w14:paraId="0EF7696A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Wagner 4-5级（坏疽）或创面迅速恶化</w:t>
            </w:r>
          </w:p>
        </w:tc>
      </w:tr>
      <w:tr w14:paraId="68F675D9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800" w:type="dxa"/>
            <w:vAlign w:val="center"/>
          </w:tcPr>
          <w:p w14:paraId="51451685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2</w:t>
            </w:r>
          </w:p>
        </w:tc>
        <w:tc>
          <w:tcPr>
            <w:tcW w:w="7200" w:type="dxa"/>
            <w:vAlign w:val="center"/>
          </w:tcPr>
          <w:p w14:paraId="58CD37BA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合并严重下肢缺血（ABI&lt;0.5、足背动脉不可触及、静息痛）</w:t>
            </w:r>
          </w:p>
        </w:tc>
      </w:tr>
      <w:tr w14:paraId="7659A21F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800" w:type="dxa"/>
            <w:vAlign w:val="center"/>
          </w:tcPr>
          <w:p w14:paraId="58FCBF45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3</w:t>
            </w:r>
          </w:p>
        </w:tc>
        <w:tc>
          <w:tcPr>
            <w:tcW w:w="7200" w:type="dxa"/>
            <w:vAlign w:val="center"/>
          </w:tcPr>
          <w:p w14:paraId="7723AC88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疑似骨髓炎或深部脓肿（骨暴露、探及骨、X线提示骨破坏）</w:t>
            </w:r>
          </w:p>
        </w:tc>
      </w:tr>
      <w:tr w14:paraId="4BF37D81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800" w:type="dxa"/>
            <w:vAlign w:val="center"/>
          </w:tcPr>
          <w:p w14:paraId="1EC66F09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4</w:t>
            </w:r>
          </w:p>
        </w:tc>
        <w:tc>
          <w:tcPr>
            <w:tcW w:w="7200" w:type="dxa"/>
            <w:vAlign w:val="center"/>
          </w:tcPr>
          <w:p w14:paraId="50B1B9E1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严重感染伴全身中毒症状（高热、寒战、意识改变、脓毒症）</w:t>
            </w:r>
          </w:p>
        </w:tc>
      </w:tr>
      <w:tr w14:paraId="44CBC14E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800" w:type="dxa"/>
            <w:vAlign w:val="center"/>
          </w:tcPr>
          <w:p w14:paraId="5790556A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5</w:t>
            </w:r>
          </w:p>
        </w:tc>
        <w:tc>
          <w:tcPr>
            <w:tcW w:w="7200" w:type="dxa"/>
            <w:vAlign w:val="center"/>
          </w:tcPr>
          <w:p w14:paraId="55B71BFD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创面大出血或活动性出血无法控制</w:t>
            </w:r>
          </w:p>
        </w:tc>
      </w:tr>
      <w:tr w14:paraId="2E4FE198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800" w:type="dxa"/>
            <w:vAlign w:val="center"/>
          </w:tcPr>
          <w:p w14:paraId="5492CE74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6</w:t>
            </w:r>
          </w:p>
        </w:tc>
        <w:tc>
          <w:tcPr>
            <w:tcW w:w="7200" w:type="dxa"/>
            <w:vAlign w:val="center"/>
          </w:tcPr>
          <w:p w14:paraId="63CABD0C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创面深达肌腱、骨骼或大血管暴露</w:t>
            </w:r>
          </w:p>
        </w:tc>
      </w:tr>
      <w:tr w14:paraId="2C135A99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800" w:type="dxa"/>
            <w:vAlign w:val="center"/>
          </w:tcPr>
          <w:p w14:paraId="1FCAAB54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7</w:t>
            </w:r>
          </w:p>
        </w:tc>
        <w:tc>
          <w:tcPr>
            <w:tcW w:w="7200" w:type="dxa"/>
            <w:vAlign w:val="center"/>
          </w:tcPr>
          <w:p w14:paraId="4E3392FF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经规范治疗4-6周创面无愈合迹象</w:t>
            </w:r>
          </w:p>
        </w:tc>
      </w:tr>
      <w:tr w14:paraId="60E81E27">
        <w:tblPrEx>
          <w:tblBorders>
            <w:top w:val="single" w:color="1E4D7A" w:sz="12" w:space="0"/>
            <w:left w:val="none" w:color="auto" w:sz="0" w:space="0"/>
            <w:bottom w:val="single" w:color="1E4D7A" w:sz="12" w:space="0"/>
            <w:right w:val="none" w:color="auto" w:sz="0" w:space="0"/>
            <w:insideH w:val="single" w:color="CBD5E1" w:sz="4" w:space="0"/>
            <w:insideV w:val="none" w:color="auto" w:sz="0" w:space="0"/>
          </w:tblBorders>
          <w:tblCellMar>
            <w:top w:w="100" w:type="dxa"/>
            <w:left w:w="150" w:type="dxa"/>
            <w:bottom w:w="100" w:type="dxa"/>
            <w:right w:w="150" w:type="dxa"/>
          </w:tblCellMar>
        </w:tblPrEx>
        <w:trPr>
          <w:trHeight w:val="360" w:hRule="atLeast"/>
        </w:trPr>
        <w:tc>
          <w:tcPr>
            <w:tcW w:w="800" w:type="dxa"/>
            <w:vAlign w:val="center"/>
          </w:tcPr>
          <w:p w14:paraId="60A52127">
            <w:pPr>
              <w:spacing w:before="0" w:after="0"/>
              <w:ind w:firstLine="0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8</w:t>
            </w:r>
          </w:p>
        </w:tc>
        <w:tc>
          <w:tcPr>
            <w:tcW w:w="7200" w:type="dxa"/>
            <w:vAlign w:val="center"/>
          </w:tcPr>
          <w:p w14:paraId="3C28598C">
            <w:pPr>
              <w:spacing w:before="0" w:after="0"/>
              <w:ind w:firstLine="0"/>
              <w:jc w:val="left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合并严重并发症（急性肾衰、心衰、酮症酸中毒等）</w:t>
            </w:r>
          </w:p>
        </w:tc>
      </w:tr>
    </w:tbl>
    <w:p w14:paraId="068E59F2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三、转诊前处理</w:t>
      </w:r>
    </w:p>
    <w:p w14:paraId="6F3E249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等待转诊或转运过程中，基层医生应做好以下处理：（1）开放创面用无菌生理盐水湿纱布覆盖，避免干燥；（2）感染创面引流要通畅，避免包扎过紧；（3）患肢抬高，减轻水肿；（4）建立静脉通路，维持水电解质平衡；（5）已启动的抗生素治疗继续；（6）准备好转诊资料（病历、检查结果、用药记录、创面照片）。</w:t>
      </w:r>
    </w:p>
    <w:p w14:paraId="31B3A413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E2F8DAD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A15C0F1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9E36BBF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附测试题（单项选择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10道</w:t>
      </w:r>
      <w:bookmarkStart w:id="5" w:name="_GoBack"/>
      <w:bookmarkEnd w:id="5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</w:p>
    <w:p w14:paraId="1E22DD4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 关于TIME原则，以下哪项描述是正确的？</w:t>
      </w:r>
    </w:p>
    <w:p w14:paraId="643C1B7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T代表Time（时间），评估创面持续时间</w:t>
      </w:r>
    </w:p>
    <w:p w14:paraId="76BF0DF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I代表Infection/Inflammation，评估感染/炎症状态</w:t>
      </w:r>
    </w:p>
    <w:p w14:paraId="59C353A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M代表Medication，评估用药情况</w:t>
      </w:r>
    </w:p>
    <w:p w14:paraId="1AFF10A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E代表Examination，评估检查结果</w:t>
      </w:r>
    </w:p>
    <w:p w14:paraId="3B0995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 Wagner分级中，3级糖尿病足溃疡的特点是？</w:t>
      </w:r>
    </w:p>
    <w:p w14:paraId="613ED14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表浅溃疡，未累及深层组织</w:t>
      </w:r>
    </w:p>
    <w:p w14:paraId="7F64A05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深部溃疡，累及肌腱、骨或关节囊</w:t>
      </w:r>
    </w:p>
    <w:p w14:paraId="1E05A95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局限性坏疽（趾、足跟或前足背）</w:t>
      </w:r>
    </w:p>
    <w:p w14:paraId="7A0689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全足坏疽</w:t>
      </w:r>
    </w:p>
    <w:p w14:paraId="3FEE603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 关于湿性愈合理论，以下说法正确的是？</w:t>
      </w:r>
    </w:p>
    <w:p w14:paraId="25AF0EE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创面应保持干燥以促进结痂</w:t>
      </w:r>
    </w:p>
    <w:p w14:paraId="38E6246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湿润环境有利于细胞迁移和生长因子活性</w:t>
      </w:r>
    </w:p>
    <w:p w14:paraId="346A919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干性环境比湿润环境更利于上皮化</w:t>
      </w:r>
    </w:p>
    <w:p w14:paraId="516ABC9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创面渗出应完全清除以保持干燥</w:t>
      </w:r>
    </w:p>
    <w:p w14:paraId="4F887E3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 以下哪种敷料最适合渗出大量、有死腔的创面？</w:t>
      </w:r>
    </w:p>
    <w:p w14:paraId="3AFE1F1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水胶体敷料</w:t>
      </w:r>
    </w:p>
    <w:p w14:paraId="28214A5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水凝胶敷料</w:t>
      </w:r>
    </w:p>
    <w:p w14:paraId="44F8C8B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藻酸盐敷料</w:t>
      </w:r>
    </w:p>
    <w:p w14:paraId="0166E83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透明薄膜敷料</w:t>
      </w:r>
    </w:p>
    <w:p w14:paraId="0263911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 关于银离子敷料的使用，以下哪项是错误的？</w:t>
      </w:r>
    </w:p>
    <w:p w14:paraId="131F59A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具有广谱抗菌作用</w:t>
      </w:r>
    </w:p>
    <w:p w14:paraId="0F231CD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适用于感染或感染高风险的创面</w:t>
      </w:r>
    </w:p>
    <w:p w14:paraId="5AA9F22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可以长期使用，无时间限制</w:t>
      </w:r>
    </w:p>
    <w:p w14:paraId="6E5B892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部分患者可能对银过敏</w:t>
      </w:r>
    </w:p>
    <w:p w14:paraId="36422CA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6. 糖尿病足轻度感染（无骨髓炎）的基层经验用药首选？</w:t>
      </w:r>
    </w:p>
    <w:p w14:paraId="2402224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万古霉素静脉滴注</w:t>
      </w:r>
    </w:p>
    <w:p w14:paraId="1614B21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阿莫西林克拉维酸钾口服</w:t>
      </w:r>
    </w:p>
    <w:p w14:paraId="07CA839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仅局部使用抗生素粉末</w:t>
      </w:r>
    </w:p>
    <w:p w14:paraId="0134B32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不需要抗生素治疗</w:t>
      </w:r>
    </w:p>
    <w:p w14:paraId="3A2BD1C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7. 关于创面清创，以下哪项是绝对禁忌证？</w:t>
      </w:r>
    </w:p>
    <w:p w14:paraId="7C3CB9F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创面有坏死组织</w:t>
      </w:r>
    </w:p>
    <w:p w14:paraId="72161C9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干性坏疽且血供未改善</w:t>
      </w:r>
    </w:p>
    <w:p w14:paraId="64F8DE5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创面有腐肉</w:t>
      </w:r>
    </w:p>
    <w:p w14:paraId="210308E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创面愈合停滞</w:t>
      </w:r>
    </w:p>
    <w:p w14:paraId="1937203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8. 踝肱指数（ABI）的正常值范围是？</w:t>
      </w:r>
    </w:p>
    <w:p w14:paraId="07DD28B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&lt;0.5</w:t>
      </w:r>
    </w:p>
    <w:p w14:paraId="22CB0BD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0.5-0.9</w:t>
      </w:r>
    </w:p>
    <w:p w14:paraId="69E5BE5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0.9-1.3</w:t>
      </w:r>
    </w:p>
    <w:p w14:paraId="70EF7FA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&gt;1.5</w:t>
      </w:r>
    </w:p>
    <w:p w14:paraId="6C7E1D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9. 以下哪项不是必须立即转诊的指征？</w:t>
      </w:r>
    </w:p>
    <w:p w14:paraId="2AB0052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Wagner 4-5级（坏疽）</w:t>
      </w:r>
    </w:p>
    <w:p w14:paraId="7E03970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轻度表浅溃疡，无感染征象</w:t>
      </w:r>
    </w:p>
    <w:p w14:paraId="4B28E37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合并严重下肢缺血（ABI&lt;0.5）</w:t>
      </w:r>
    </w:p>
    <w:p w14:paraId="4FBD6E0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疑似骨髓炎或深部脓肿</w:t>
      </w:r>
    </w:p>
    <w:p w14:paraId="07685B2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10. 关于糖尿病足溃疡的减压治疗，以下说法正确的是？</w:t>
      </w:r>
    </w:p>
    <w:p w14:paraId="153A1FC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患者可以正常行走，不需要特殊减压</w:t>
      </w:r>
    </w:p>
    <w:p w14:paraId="7B9FF3A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全接触石膏（TCC）是减压的金标准方法</w:t>
      </w:r>
    </w:p>
    <w:p w14:paraId="020F2F1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减压治疗不重要，重点是局部换药</w:t>
      </w:r>
    </w:p>
    <w:p w14:paraId="1E86F30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只需在疼痛时减少活动</w:t>
      </w:r>
    </w:p>
    <w:p w14:paraId="3FF9337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46226F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7A084C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60" w:line="590" w:lineRule="exact"/>
        <w:ind w:firstLine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footerReference r:id="rId5" w:type="default"/>
      <w:pgSz w:w="11906" w:h="16838"/>
      <w:pgMar w:top="1814" w:right="1587" w:bottom="1701" w:left="1587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024AF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2"/>
  </w:compat>
  <w:rsids>
    <w:rsidRoot w:val="00000000"/>
    <w:rsid w:val="01031B7F"/>
    <w:rsid w:val="05FE2D8C"/>
    <w:rsid w:val="071B6066"/>
    <w:rsid w:val="0DBE0DD6"/>
    <w:rsid w:val="15F566D6"/>
    <w:rsid w:val="2EFF2BA5"/>
    <w:rsid w:val="311D43AC"/>
    <w:rsid w:val="39666E4A"/>
    <w:rsid w:val="47B266FF"/>
    <w:rsid w:val="55174F96"/>
    <w:rsid w:val="611E5AAD"/>
    <w:rsid w:val="63AE1B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360" w:lineRule="auto"/>
      <w:ind w:firstLine="420"/>
      <w:jc w:val="both"/>
    </w:pPr>
    <w:rPr>
      <w:rFonts w:ascii="Times New Roman" w:hAnsi="Times New Roman" w:eastAsia="宋体" w:cstheme="minorBidi"/>
      <w:color w:val="1A202C"/>
      <w:sz w:val="24"/>
      <w:szCs w:val="22"/>
    </w:rPr>
  </w:style>
  <w:style w:type="paragraph" w:styleId="2">
    <w:name w:val="heading 1"/>
    <w:basedOn w:val="1"/>
    <w:qFormat/>
    <w:uiPriority w:val="0"/>
    <w:pPr>
      <w:keepNext/>
      <w:keepLines/>
      <w:spacing w:before="480" w:after="240" w:line="240" w:lineRule="auto"/>
      <w:ind w:firstLine="0"/>
      <w:outlineLvl w:val="0"/>
    </w:pPr>
    <w:rPr>
      <w:rFonts w:eastAsia="黑体"/>
      <w:b/>
      <w:color w:val="1E4D7A"/>
      <w:sz w:val="32"/>
    </w:rPr>
  </w:style>
  <w:style w:type="paragraph" w:styleId="3">
    <w:name w:val="heading 2"/>
    <w:basedOn w:val="1"/>
    <w:qFormat/>
    <w:uiPriority w:val="0"/>
    <w:pPr>
      <w:keepNext/>
      <w:keepLines/>
      <w:spacing w:before="360" w:after="180"/>
      <w:ind w:firstLine="0"/>
      <w:outlineLvl w:val="1"/>
    </w:pPr>
    <w:rPr>
      <w:rFonts w:eastAsia="黑体"/>
      <w:b/>
      <w:color w:val="2D5F8F"/>
      <w:sz w:val="28"/>
    </w:rPr>
  </w:style>
  <w:style w:type="paragraph" w:styleId="4">
    <w:name w:val="heading 3"/>
    <w:basedOn w:val="1"/>
    <w:qFormat/>
    <w:uiPriority w:val="0"/>
    <w:pPr>
      <w:keepNext/>
      <w:keepLines/>
      <w:spacing w:before="280" w:after="120"/>
      <w:ind w:firstLine="0"/>
      <w:outlineLvl w:val="2"/>
    </w:pPr>
    <w:rPr>
      <w:b/>
      <w:color w:val="4A5568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qFormat/>
    <w:uiPriority w:val="0"/>
    <w:pPr>
      <w:tabs>
        <w:tab w:val="right" w:leader="dot" w:pos="9350"/>
      </w:tabs>
      <w:spacing w:before="200" w:after="60"/>
      <w:ind w:firstLine="0"/>
    </w:pPr>
    <w:rPr>
      <w:b/>
      <w:color w:val="1A202C"/>
    </w:rPr>
  </w:style>
  <w:style w:type="paragraph" w:styleId="6">
    <w:name w:val="toc 2"/>
    <w:basedOn w:val="1"/>
    <w:qFormat/>
    <w:uiPriority w:val="0"/>
    <w:pPr>
      <w:tabs>
        <w:tab w:val="right" w:leader="dot" w:pos="9350"/>
      </w:tabs>
      <w:spacing w:before="60" w:after="60"/>
      <w:ind w:left="420" w:firstLine="0"/>
    </w:pPr>
    <w:rPr>
      <w:color w:val="4A5568"/>
    </w:rPr>
  </w:style>
  <w:style w:type="paragraph" w:styleId="7">
    <w:name w:val="Title"/>
    <w:basedOn w:val="1"/>
    <w:qFormat/>
    <w:uiPriority w:val="0"/>
    <w:pPr>
      <w:spacing w:before="0" w:after="400" w:line="240" w:lineRule="auto"/>
      <w:ind w:firstLine="0"/>
      <w:jc w:val="center"/>
    </w:pPr>
    <w:rPr>
      <w:rFonts w:eastAsia="黑体"/>
      <w:b/>
      <w:color w:val="1E3A5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23</Pages>
  <Words>4610</Words>
  <Characters>4785</Characters>
  <TotalTime>39</TotalTime>
  <ScaleCrop>false</ScaleCrop>
  <LinksUpToDate>false</LinksUpToDate>
  <CharactersWithSpaces>4814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2026-03-01T17:24:00Z</dcterms:created>
  <dc:creator>19519</dc:creator>
  <cp:lastModifiedBy>轻舞飞扬</cp:lastModifiedBy>
  <dcterms:modified xsi:type="dcterms:W3CDTF">2026-07-07T07:51:19Z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eyJoZGlkIjoiODBmNTMzZjkzYzI0YjY0ZTVkNDZkMTM4NTY2ZGEwNjciLCJ1c2VySWQiOiI1OTU4NDk1MTUifQ==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BADFB1ABAF534982AEC318200CA185ED_12</vt:lpwstr>
  </property>
</Properties>
</file>